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/>
        <w:t>Załącznik nr 1 Wzór oświadczenia</w:t>
      </w:r>
    </w:p>
    <w:p>
      <w:pPr>
        <w:pStyle w:val="Normal"/>
        <w:suppressAutoHyphens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false"/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</w:t>
      </w:r>
      <w:r>
        <w:rPr>
          <w:b/>
          <w:sz w:val="24"/>
          <w:szCs w:val="24"/>
        </w:rPr>
        <w:t>.</w:t>
      </w:r>
    </w:p>
    <w:p>
      <w:pPr>
        <w:pStyle w:val="Normal"/>
        <w:suppressAutoHyphens w:val="false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(nazwa i adres jednostki)</w:t>
      </w:r>
    </w:p>
    <w:p>
      <w:pPr>
        <w:pStyle w:val="Normal"/>
        <w:suppressAutoHyphens w:val="false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uppressAutoHyphens w:val="false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uppressAutoHyphens w:val="false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uppressAutoHyphens w:val="false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>
        <w:rPr>
          <w:b/>
          <w:sz w:val="24"/>
          <w:szCs w:val="24"/>
        </w:rPr>
        <w:t>OŚWIADCZENIE</w:t>
      </w:r>
    </w:p>
    <w:p>
      <w:pPr>
        <w:pStyle w:val="Normal"/>
        <w:suppressAutoHyphens w:val="false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uppressAutoHyphens w:val="false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uppressAutoHyphens w:val="false"/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W związku z przygotowywaniem i przeprowadzaniem przez Uniwersytet Warszawski z siedzibą w Warszawie, ul. Krakowskie Przedmieście 26/28, 00-927 Warszawa w naszym imieniu i na naszą rzecz</w:t>
      </w:r>
      <w:r>
        <w:rPr>
          <w:sz w:val="24"/>
          <w:szCs w:val="24"/>
          <w:lang w:eastAsia="pl-PL"/>
        </w:rPr>
        <w:t xml:space="preserve"> postępowania o udzielenie zamówienia publicznego, którego przedmiotem jest </w:t>
      </w:r>
      <w:r>
        <w:rPr>
          <w:b/>
          <w:sz w:val="24"/>
          <w:szCs w:val="24"/>
          <w:lang w:eastAsia="pl-PL"/>
        </w:rPr>
        <w:t>„Dostawa i serwis gwarancyjny oprogramowania ANSYS”</w:t>
      </w:r>
      <w:r>
        <w:rPr>
          <w:sz w:val="24"/>
          <w:szCs w:val="24"/>
          <w:lang w:eastAsia="pl-PL"/>
        </w:rPr>
        <w:t>, zobowiązujemy się do</w:t>
      </w:r>
      <w:r>
        <w:rPr>
          <w:color w:val="000000"/>
          <w:sz w:val="24"/>
          <w:szCs w:val="24"/>
          <w:lang w:eastAsia="pl-PL"/>
        </w:rPr>
        <w:t xml:space="preserve"> sfinansowania zamówienia w części na nas przypadającej, wynikającej z umowy zawartej z wybranym Wykonawcą do kwoty </w:t>
      </w:r>
      <w:r>
        <w:rPr>
          <w:rFonts w:eastAsia="Calibri"/>
          <w:b/>
          <w:bCs/>
          <w:sz w:val="22"/>
          <w:szCs w:val="22"/>
          <w:lang w:eastAsia="en-US"/>
        </w:rPr>
        <w:t>…………………………………..</w:t>
      </w:r>
      <w:r>
        <w:rPr>
          <w:color w:val="000000"/>
          <w:sz w:val="24"/>
          <w:szCs w:val="24"/>
          <w:lang w:eastAsia="pl-PL"/>
        </w:rPr>
        <w:t xml:space="preserve"> brutto.</w:t>
      </w:r>
    </w:p>
    <w:p>
      <w:pPr>
        <w:pStyle w:val="Normal"/>
        <w:suppressAutoHyphens w:val="false"/>
        <w:spacing w:lineRule="auto" w:line="276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</w:r>
    </w:p>
    <w:p>
      <w:pPr>
        <w:pStyle w:val="Normal"/>
        <w:suppressAutoHyphens w:val="false"/>
        <w:spacing w:lineRule="auto" w:line="276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Opis usługi: </w:t>
      </w:r>
    </w:p>
    <w:p>
      <w:pPr>
        <w:pStyle w:val="Normal"/>
        <w:numPr>
          <w:ilvl w:val="0"/>
          <w:numId w:val="5"/>
        </w:numPr>
        <w:suppressAutoHyphens w:val="false"/>
        <w:spacing w:lineRule="auto" w:line="276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Dostawa, serwis gwarancyjny oraz dystrybucja licencjami na oprogramowanie firmy ANSYS w ramach ogólnokrajowej licencji dla polskich instytucji akademickich, zwanych dalej „Ośrodkami”, realizowanej za pośrednictwem </w:t>
      </w:r>
      <w:r>
        <w:rPr>
          <w:sz w:val="24"/>
          <w:szCs w:val="24"/>
        </w:rPr>
        <w:t>Uniwersytetu</w:t>
      </w:r>
      <w:r>
        <w:rPr>
          <w:color w:val="000000"/>
          <w:sz w:val="24"/>
          <w:szCs w:val="24"/>
          <w:lang w:eastAsia="pl-PL"/>
        </w:rPr>
        <w:t xml:space="preserve">. Umowa obejmuje następujące nierozdzielne pakiety złożone z programów: </w:t>
      </w:r>
    </w:p>
    <w:p>
      <w:pPr>
        <w:pStyle w:val="Normal"/>
        <w:spacing w:lineRule="auto" w:line="27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</w:tabs>
        <w:suppressAutoHyphens w:val="false"/>
        <w:spacing w:lineRule="auto" w:line="276"/>
        <w:ind w:left="426" w:right="47" w:hanging="0"/>
        <w:jc w:val="both"/>
        <w:rPr>
          <w:lang w:val="en-US"/>
        </w:rPr>
      </w:pPr>
      <w:r>
        <w:rPr>
          <w:lang w:val="en-US"/>
        </w:rPr>
        <w:t xml:space="preserve">ANSYS Academic Research Mechanical and CFD (1 zadanie) 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</w:tabs>
        <w:suppressAutoHyphens w:val="false"/>
        <w:spacing w:lineRule="auto" w:line="276"/>
        <w:ind w:left="426" w:right="47" w:hanging="0"/>
        <w:jc w:val="both"/>
        <w:rPr>
          <w:lang w:val="en-US"/>
        </w:rPr>
      </w:pPr>
      <w:r>
        <w:rPr>
          <w:lang w:val="en-US"/>
        </w:rPr>
        <w:t xml:space="preserve">ANSYS Academic Research EM (1 zadanie) 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</w:tabs>
        <w:suppressAutoHyphens w:val="false"/>
        <w:spacing w:lineRule="auto" w:line="276"/>
        <w:ind w:left="426" w:right="47" w:hanging="0"/>
        <w:jc w:val="both"/>
        <w:rPr>
          <w:lang w:val="en-US"/>
        </w:rPr>
      </w:pPr>
      <w:r>
        <w:rPr>
          <w:lang w:val="en-US"/>
        </w:rPr>
        <w:t xml:space="preserve">ANSYS Academic Research HF (1 zadanie)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</w:tabs>
        <w:suppressAutoHyphens w:val="false"/>
        <w:spacing w:lineRule="auto" w:line="276"/>
        <w:ind w:left="426" w:right="47" w:hanging="0"/>
        <w:jc w:val="both"/>
        <w:rPr>
          <w:lang w:val="en-US"/>
        </w:rPr>
      </w:pPr>
      <w:r>
        <w:rPr>
          <w:lang w:val="en-US"/>
        </w:rPr>
        <w:t xml:space="preserve">ANSYS Academic Research Electronics Suite (1 zadanie) 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</w:tabs>
        <w:suppressAutoHyphens w:val="false"/>
        <w:spacing w:lineRule="auto" w:line="276"/>
        <w:ind w:left="426" w:right="47" w:hanging="0"/>
        <w:jc w:val="both"/>
        <w:rPr>
          <w:lang w:val="en-US"/>
        </w:rPr>
      </w:pPr>
      <w:r>
        <w:rPr>
          <w:lang w:val="en-US"/>
        </w:rPr>
        <w:t xml:space="preserve">ANSYS Academic Research PowerArtist (1 zadanie) 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</w:tabs>
        <w:suppressAutoHyphens w:val="false"/>
        <w:spacing w:lineRule="auto" w:line="276"/>
        <w:ind w:left="426" w:right="47" w:hanging="0"/>
        <w:jc w:val="both"/>
        <w:rPr>
          <w:lang w:val="en-US"/>
        </w:rPr>
      </w:pPr>
      <w:r>
        <w:rPr>
          <w:lang w:val="en-US"/>
        </w:rPr>
        <w:t xml:space="preserve">ANSYS Academic Research RedHawk (1 zadanie) 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</w:tabs>
        <w:suppressAutoHyphens w:val="false"/>
        <w:spacing w:lineRule="auto" w:line="276"/>
        <w:ind w:left="426" w:right="47" w:hanging="0"/>
        <w:jc w:val="both"/>
        <w:rPr>
          <w:lang w:val="en-US"/>
        </w:rPr>
      </w:pPr>
      <w:r>
        <w:rPr>
          <w:lang w:val="en-US"/>
        </w:rPr>
        <w:t xml:space="preserve">ANSYS Academic Teaching Mechanical and CFD (10 zadań) 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</w:tabs>
        <w:suppressAutoHyphens w:val="false"/>
        <w:spacing w:lineRule="auto" w:line="276"/>
        <w:ind w:left="426" w:right="47" w:hanging="0"/>
        <w:jc w:val="both"/>
        <w:rPr>
          <w:lang w:val="en-US"/>
        </w:rPr>
      </w:pPr>
      <w:r>
        <w:rPr>
          <w:lang w:val="en-US"/>
        </w:rPr>
        <w:t xml:space="preserve">ANSYS Academic Teaching EM (10zadań) 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</w:tabs>
        <w:suppressAutoHyphens w:val="false"/>
        <w:spacing w:lineRule="auto" w:line="276"/>
        <w:ind w:left="426" w:right="47" w:hanging="0"/>
        <w:jc w:val="both"/>
        <w:rPr>
          <w:lang w:val="en-US"/>
        </w:rPr>
      </w:pPr>
      <w:r>
        <w:rPr>
          <w:lang w:val="en-US"/>
        </w:rPr>
        <w:t xml:space="preserve">ANSYS Academic Teaching HF (10 zadań)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</w:tabs>
        <w:suppressAutoHyphens w:val="false"/>
        <w:spacing w:lineRule="auto" w:line="276"/>
        <w:ind w:left="426" w:right="47" w:hanging="0"/>
        <w:jc w:val="both"/>
        <w:rPr>
          <w:lang w:val="en-US"/>
        </w:rPr>
      </w:pPr>
      <w:r>
        <w:rPr>
          <w:lang w:val="en-US"/>
        </w:rPr>
        <w:t xml:space="preserve">ANSYS Academic Teaching Electronics Suite (10 zadań) 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</w:tabs>
        <w:suppressAutoHyphens w:val="false"/>
        <w:spacing w:lineRule="auto" w:line="276"/>
        <w:ind w:left="426" w:right="47" w:hanging="0"/>
        <w:jc w:val="both"/>
        <w:rPr>
          <w:lang w:val="en-US"/>
        </w:rPr>
      </w:pPr>
      <w:r>
        <w:rPr>
          <w:lang w:val="en-US"/>
        </w:rPr>
        <w:t xml:space="preserve">ANSYS Academic Research HPC (5 rdzeni) 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</w:tabs>
        <w:suppressAutoHyphens w:val="false"/>
        <w:spacing w:lineRule="auto" w:line="276"/>
        <w:ind w:left="426" w:right="47" w:hanging="0"/>
        <w:jc w:val="both"/>
        <w:rPr/>
      </w:pPr>
      <w:r>
        <w:rPr/>
        <w:t>ANSYS Academic Research Electronics HPC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</w:tabs>
        <w:suppressAutoHyphens w:val="false"/>
        <w:spacing w:lineRule="auto" w:line="276"/>
        <w:ind w:left="426" w:right="47" w:hanging="0"/>
        <w:jc w:val="both"/>
        <w:rPr/>
      </w:pPr>
      <w:r>
        <w:rPr/>
        <w:t xml:space="preserve">ANSYS Ensight (1 zadanie)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</w:tabs>
        <w:suppressAutoHyphens w:val="false"/>
        <w:spacing w:lineRule="auto" w:line="276"/>
        <w:ind w:left="426" w:right="47" w:hanging="0"/>
        <w:jc w:val="both"/>
        <w:rPr/>
      </w:pPr>
      <w:r>
        <w:rPr/>
        <w:t>ANSYS Discovery (1 zadanie)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</w:tabs>
        <w:suppressAutoHyphens w:val="false"/>
        <w:spacing w:lineRule="auto" w:line="276"/>
        <w:ind w:left="426" w:right="47" w:hanging="0"/>
        <w:jc w:val="both"/>
        <w:rPr/>
      </w:pPr>
      <w:r>
        <w:rPr/>
        <w:t>ANSYS Additive Suite (1 zadanie)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</w:tabs>
        <w:suppressAutoHyphens w:val="false"/>
        <w:spacing w:lineRule="auto" w:line="276"/>
        <w:ind w:left="426" w:right="47" w:hanging="0"/>
        <w:jc w:val="both"/>
        <w:rPr/>
      </w:pPr>
      <w:r>
        <w:rPr/>
        <w:t xml:space="preserve">ANSYS Additive Print (1 zadanie) </w:t>
      </w:r>
      <w:r>
        <w:rPr>
          <w:b/>
        </w:rPr>
        <w:t xml:space="preserve"> </w:t>
      </w:r>
      <w:r>
        <w:rPr/>
        <w:t xml:space="preserve"> </w:t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>oraz udostępniane niezależne od pakietów, licencje równoległe ANSYS Academic Research HPC Workgroup w następujących zestawach: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/>
        <w:ind w:left="705" w:hanging="360"/>
        <w:jc w:val="both"/>
        <w:rPr>
          <w:lang w:val="en-US"/>
        </w:rPr>
      </w:pPr>
      <w:r>
        <w:rPr>
          <w:lang w:val="en-US"/>
        </w:rPr>
        <w:t>ANSYS Academic Research HPC Workgroup 128 (128 licencji)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/>
        <w:ind w:left="705" w:hanging="360"/>
        <w:jc w:val="both"/>
        <w:rPr>
          <w:lang w:val="en-US"/>
        </w:rPr>
      </w:pPr>
      <w:r>
        <w:rPr>
          <w:lang w:val="en-US"/>
        </w:rPr>
        <w:t xml:space="preserve">ANSYS Academic Research HPC Workgroup 256 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/>
        <w:ind w:left="705" w:hanging="360"/>
        <w:jc w:val="both"/>
        <w:rPr>
          <w:lang w:val="en-US"/>
        </w:rPr>
      </w:pPr>
      <w:r>
        <w:rPr>
          <w:lang w:val="en-US"/>
        </w:rPr>
        <w:t xml:space="preserve">ANSYS Academic Research HPC Workgroup 512 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/>
        <w:ind w:left="705" w:hanging="360"/>
        <w:jc w:val="both"/>
        <w:rPr>
          <w:lang w:val="en-US"/>
        </w:rPr>
      </w:pPr>
      <w:r>
        <w:rPr>
          <w:lang w:val="en-US"/>
        </w:rPr>
        <w:t xml:space="preserve">ANSYS Academic Research HPC Workgroup 1024 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/>
        <w:ind w:left="705" w:hanging="360"/>
        <w:jc w:val="both"/>
        <w:rPr>
          <w:lang w:val="en-US"/>
        </w:rPr>
      </w:pPr>
      <w:r>
        <w:rPr>
          <w:lang w:val="en-US"/>
        </w:rPr>
        <w:t>ANSYS Academic Research HPC Workgroup 2048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/>
        <w:ind w:left="705" w:hanging="360"/>
        <w:jc w:val="both"/>
        <w:rPr>
          <w:lang w:val="en-US"/>
        </w:rPr>
      </w:pPr>
      <w:r>
        <w:rPr>
          <w:lang w:val="en-GB"/>
        </w:rPr>
        <w:t>ANSYS Academic Research LS-Dyna</w:t>
      </w:r>
      <w:r>
        <w:rPr>
          <w:lang w:val="en-US"/>
        </w:rPr>
        <w:t>*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/>
        <w:ind w:left="705" w:hanging="360"/>
        <w:jc w:val="both"/>
        <w:rPr>
          <w:lang w:val="en-US"/>
        </w:rPr>
      </w:pPr>
      <w:r>
        <w:rPr>
          <w:lang w:val="en-GB"/>
        </w:rPr>
        <w:t>ANSYS Academic Research LS-Dyna HPC</w:t>
      </w:r>
      <w:r>
        <w:rPr>
          <w:lang w:val="en-US"/>
        </w:rPr>
        <w:t>*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/>
        <w:ind w:left="705" w:hanging="360"/>
        <w:jc w:val="both"/>
        <w:rPr>
          <w:lang w:val="en-US"/>
        </w:rPr>
      </w:pPr>
      <w:r>
        <w:rPr>
          <w:lang w:val="en-US"/>
        </w:rPr>
        <w:t>ANSYS Academic Granta Edu Pack*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/>
        <w:ind w:left="705" w:hanging="360"/>
        <w:jc w:val="both"/>
        <w:rPr>
          <w:lang w:val="en-US"/>
        </w:rPr>
      </w:pPr>
      <w:r>
        <w:rPr/>
        <w:t>ANSYS Academic Research Scade *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/>
        <w:ind w:left="705" w:hanging="360"/>
        <w:jc w:val="both"/>
        <w:rPr>
          <w:lang w:val="en-US"/>
        </w:rPr>
      </w:pPr>
      <w:r>
        <w:rPr/>
        <w:t>ANSYS Rocky *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/>
        <w:ind w:left="705" w:hanging="360"/>
        <w:jc w:val="both"/>
        <w:rPr>
          <w:lang w:val="en-US"/>
        </w:rPr>
      </w:pPr>
      <w:r>
        <w:rPr/>
        <w:t>ANSYS Rocky HPC*</w:t>
      </w:r>
    </w:p>
    <w:p>
      <w:pPr>
        <w:pStyle w:val="Normal"/>
        <w:spacing w:lineRule="auto" w:line="276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</w:r>
    </w:p>
    <w:p>
      <w:pPr>
        <w:pStyle w:val="Normal"/>
        <w:spacing w:lineRule="auto" w:line="276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wraz ze wszystkimi rozszerzeniami i udoskonaleniami tego oprogramowania dokonanymi przez firmę ANSYS w trakcie obowiązywania licencji zgodnie z warunkami udzielania licencji. </w:t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/>
        <w:t>*)  produkty planowane do udostępnienia uczestnikom programu bez dodatkowych opłat, w ramach dedykowanej ograniczonej wspólnej  puli  procesów, po przejściu bezpłatnego szkolenia.</w:t>
      </w:r>
    </w:p>
    <w:p>
      <w:pPr>
        <w:pStyle w:val="Normal"/>
        <w:spacing w:lineRule="auto" w:line="276"/>
        <w:ind w:left="36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uppressAutoHyphens w:val="false"/>
        <w:spacing w:lineRule="auto" w:line="276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</w:r>
    </w:p>
    <w:p>
      <w:pPr>
        <w:pStyle w:val="Normal"/>
        <w:suppressAutoHyphens w:val="false"/>
        <w:spacing w:lineRule="auto" w:line="276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</w:r>
    </w:p>
    <w:p>
      <w:pPr>
        <w:pStyle w:val="Normal"/>
        <w:suppressAutoHyphens w:val="false"/>
        <w:spacing w:lineRule="auto" w:line="276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</w:r>
    </w:p>
    <w:p>
      <w:pPr>
        <w:pStyle w:val="Normal"/>
        <w:suppressAutoHyphens w:val="false"/>
        <w:spacing w:lineRule="auto" w:line="276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</w:r>
    </w:p>
    <w:p>
      <w:pPr>
        <w:pStyle w:val="Normal"/>
        <w:suppressAutoHyphens w:val="false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</w:r>
    </w:p>
    <w:p>
      <w:pPr>
        <w:pStyle w:val="Normal"/>
        <w:suppressAutoHyphens w:val="false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</w:r>
    </w:p>
    <w:p>
      <w:pPr>
        <w:pStyle w:val="Normal"/>
        <w:suppressAutoHyphens w:val="false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</w:r>
    </w:p>
    <w:p>
      <w:pPr>
        <w:pStyle w:val="Normal"/>
        <w:suppressAutoHyphens w:val="false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</w:r>
    </w:p>
    <w:p>
      <w:pPr>
        <w:pStyle w:val="Normal"/>
        <w:suppressAutoHyphens w:val="false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</w:r>
    </w:p>
    <w:tbl>
      <w:tblPr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605"/>
        <w:gridCol w:w="4605"/>
      </w:tblGrid>
      <w:tr>
        <w:trPr/>
        <w:tc>
          <w:tcPr>
            <w:tcW w:w="4605" w:type="dxa"/>
            <w:tcBorders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605" w:type="dxa"/>
            <w:tcBorders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pieczęć firmowa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podpisy i pieczęcie służbowe osób</w:t>
              <w:br/>
              <w:t>uprawnionych do reprezentowania jednostki</w:t>
            </w:r>
          </w:p>
        </w:tc>
      </w:tr>
    </w:tbl>
    <w:p>
      <w:pPr>
        <w:pStyle w:val="Normal"/>
        <w:suppressAutoHyphens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false"/>
        <w:jc w:val="both"/>
        <w:rPr>
          <w:color w:val="000000"/>
          <w:sz w:val="24"/>
          <w:szCs w:val="24"/>
          <w:lang w:eastAsia="pl-PL"/>
        </w:rPr>
      </w:pPr>
      <w:r>
        <w:rPr/>
      </w:r>
    </w:p>
    <w:sectPr>
      <w:footerReference w:type="default" r:id="rId2"/>
      <w:type w:val="nextPage"/>
      <w:pgSz w:w="11906" w:h="16838"/>
      <w:pgMar w:left="1418" w:right="1418" w:header="0" w:top="993" w:footer="215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G Time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swiss"/>
    <w:pitch w:val="variable"/>
  </w:font>
  <w:font w:name="Segoe UI Symbol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39402131"/>
    </w:sdtPr>
    <w:sdtContent>
      <w:p>
        <w:pPr>
          <w:pStyle w:val="Footer"/>
          <w:jc w:val="right"/>
          <w:rPr/>
        </w:pPr>
        <w:r>
          <w:rPr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tabs>
          <w:tab w:val="num" w:pos="0"/>
        </w:tabs>
        <w:ind w:left="705" w:hanging="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92" w:hanging="0"/>
      </w:pPr>
      <w:rPr>
        <w:rFonts w:ascii="Segoe UI Symbol" w:hAnsi="Segoe UI Symbol" w:cs="Segoe UI 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012" w:hanging="0"/>
      </w:pPr>
      <w:rPr>
        <w:rFonts w:ascii="Segoe UI Symbol" w:hAnsi="Segoe UI Symbol" w:cs="Segoe UI Symbol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732" w:hanging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52" w:hanging="0"/>
      </w:pPr>
      <w:rPr>
        <w:rFonts w:ascii="Segoe UI Symbol" w:hAnsi="Segoe UI Symbol" w:cs="Segoe UI 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172" w:hanging="0"/>
      </w:pPr>
      <w:rPr>
        <w:rFonts w:ascii="Segoe UI Symbol" w:hAnsi="Segoe UI Symbol" w:cs="Segoe UI 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892" w:hanging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12" w:hanging="0"/>
      </w:pPr>
      <w:rPr>
        <w:rFonts w:ascii="Segoe UI Symbol" w:hAnsi="Segoe UI Symbol" w:cs="Segoe UI 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332" w:hanging="0"/>
      </w:pPr>
      <w:rPr>
        <w:rFonts w:ascii="Segoe UI Symbol" w:hAnsi="Segoe UI Symbol" w:cs="Segoe UI Symbol" w:hint="default"/>
      </w:rPr>
    </w:lvl>
  </w:abstractNum>
  <w:abstractNum w:abstractNumId="2">
    <w:lvl w:ilvl="0">
      <w:start w:val="1"/>
      <w:numFmt w:val="bullet"/>
      <w:lvlText w:val="•"/>
      <w:lvlJc w:val="left"/>
      <w:pPr>
        <w:tabs>
          <w:tab w:val="num" w:pos="0"/>
        </w:tabs>
        <w:ind w:left="1683" w:hanging="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18" w:hanging="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3138" w:hanging="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858" w:hanging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78" w:hanging="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298" w:hanging="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18" w:hanging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38" w:hanging="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458" w:hanging="0"/>
      </w:pPr>
      <w:rPr>
        <w:rFonts w:ascii="Arial" w:hAnsi="Arial" w:cs="Aria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/>
  <w:hyphenationZone w:val="425"/>
  <w:themeFontLang w:val="pl-P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4a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link w:val="Tytu"/>
    <w:qFormat/>
    <w:rsid w:val="00564ad6"/>
    <w:rPr>
      <w:rFonts w:ascii="Arial" w:hAnsi="Arial" w:eastAsia="Times New Roman" w:cs="Times New Roman"/>
      <w:b/>
      <w:sz w:val="28"/>
      <w:szCs w:val="20"/>
      <w:lang w:eastAsia="ar-SA"/>
    </w:rPr>
  </w:style>
  <w:style w:type="character" w:styleId="Tabulatory" w:customStyle="1">
    <w:name w:val="tabulatory"/>
    <w:basedOn w:val="DefaultParagraphFont"/>
    <w:qFormat/>
    <w:rsid w:val="00564ad6"/>
    <w:rPr/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6a5ec4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06d0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d06d0e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06d0e"/>
    <w:rPr>
      <w:rFonts w:ascii="Times New Roman" w:hAnsi="Times New Roman" w:eastAsia="Times New Roman" w:cs="Times New Roman"/>
      <w:b/>
      <w:bCs/>
      <w:sz w:val="20"/>
      <w:szCs w:val="20"/>
      <w:lang w:eastAsia="ar-SA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06d0e"/>
    <w:rPr>
      <w:rFonts w:ascii="Tahoma" w:hAnsi="Tahoma" w:eastAsia="Times New Roman" w:cs="Tahoma"/>
      <w:sz w:val="16"/>
      <w:szCs w:val="16"/>
      <w:lang w:eastAsia="ar-SA"/>
    </w:rPr>
  </w:style>
  <w:style w:type="character" w:styleId="TekstprzypisukocowegoZnak" w:customStyle="1">
    <w:name w:val="Tekst przypisu końcowego Znak"/>
    <w:basedOn w:val="DefaultParagraphFont"/>
    <w:link w:val="Tekstprzypisukocowego"/>
    <w:qFormat/>
    <w:rsid w:val="00162518"/>
    <w:rPr>
      <w:rFonts w:ascii="CG Times" w:hAnsi="CG Times" w:eastAsia="Times New Roman" w:cs="Times New Roman"/>
      <w:szCs w:val="20"/>
      <w:lang w:val="en-GB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d7b2a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0d7b2a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InternetLink">
    <w:name w:val="Hyperlink"/>
    <w:basedOn w:val="DefaultParagraphFont"/>
    <w:uiPriority w:val="99"/>
    <w:unhideWhenUsed/>
    <w:rsid w:val="00d01c2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360ae"/>
    <w:rPr>
      <w:i/>
      <w:iCs/>
    </w:rPr>
  </w:style>
  <w:style w:type="character" w:styleId="W8qarf" w:customStyle="1">
    <w:name w:val="w8qarf"/>
    <w:basedOn w:val="DefaultParagraphFont"/>
    <w:qFormat/>
    <w:rsid w:val="00e8295d"/>
    <w:rPr/>
  </w:style>
  <w:style w:type="character" w:styleId="Lrzxr" w:customStyle="1">
    <w:name w:val="lrzxr"/>
    <w:basedOn w:val="DefaultParagraphFont"/>
    <w:qFormat/>
    <w:rsid w:val="00e8295d"/>
    <w:rPr/>
  </w:style>
  <w:style w:type="character" w:styleId="Markedcontent" w:customStyle="1">
    <w:name w:val="markedcontent"/>
    <w:basedOn w:val="DefaultParagraphFont"/>
    <w:qFormat/>
    <w:rsid w:val="004c497e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TekstpodstawowyZnak"/>
    <w:semiHidden/>
    <w:rsid w:val="006a5ec4"/>
    <w:pPr>
      <w:suppressAutoHyphens w:val="false"/>
      <w:spacing w:lineRule="auto" w:line="360"/>
      <w:ind w:right="15" w:hanging="0"/>
      <w:jc w:val="both"/>
    </w:pPr>
    <w:rPr>
      <w:sz w:val="24"/>
      <w:szCs w:val="24"/>
      <w:lang w:eastAsia="pl-PL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Normal"/>
    <w:link w:val="TytuZnak"/>
    <w:qFormat/>
    <w:rsid w:val="00564ad6"/>
    <w:pPr>
      <w:jc w:val="center"/>
    </w:pPr>
    <w:rPr>
      <w:rFonts w:ascii="Arial" w:hAnsi="Arial"/>
      <w:b/>
      <w:sz w:val="28"/>
    </w:rPr>
  </w:style>
  <w:style w:type="paragraph" w:styleId="ListParagraph">
    <w:name w:val="List Paragraph"/>
    <w:basedOn w:val="Normal"/>
    <w:uiPriority w:val="99"/>
    <w:qFormat/>
    <w:rsid w:val="002c480c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unhideWhenUsed/>
    <w:qFormat/>
    <w:rsid w:val="00d06d0e"/>
    <w:pPr/>
    <w:rPr/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06d0e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06d0e"/>
    <w:pPr/>
    <w:rPr>
      <w:rFonts w:ascii="Tahoma" w:hAnsi="Tahoma" w:cs="Tahoma"/>
      <w:sz w:val="16"/>
      <w:szCs w:val="16"/>
    </w:rPr>
  </w:style>
  <w:style w:type="paragraph" w:styleId="Endnote">
    <w:name w:val="Endnote Text"/>
    <w:basedOn w:val="Normal"/>
    <w:link w:val="TekstprzypisukocowegoZnak"/>
    <w:unhideWhenUsed/>
    <w:rsid w:val="00162518"/>
    <w:pPr>
      <w:widowControl w:val="false"/>
      <w:suppressAutoHyphens w:val="false"/>
    </w:pPr>
    <w:rPr>
      <w:rFonts w:ascii="CG Times" w:hAnsi="CG Times"/>
      <w:sz w:val="22"/>
      <w:lang w:val="en-GB" w:eastAsia="en-U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0d7b2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StopkaZnak"/>
    <w:uiPriority w:val="99"/>
    <w:unhideWhenUsed/>
    <w:rsid w:val="000d7b2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Revision">
    <w:name w:val="Revision"/>
    <w:uiPriority w:val="99"/>
    <w:semiHidden/>
    <w:qFormat/>
    <w:rsid w:val="00126f2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F0191-F97B-43DF-B153-E49D42A8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LibreOffice/6.4.7.2$Linux_X86_64 LibreOffice_project/40$Build-2</Application>
  <Pages>2</Pages>
  <Words>354</Words>
  <Characters>2198</Characters>
  <CharactersWithSpaces>2570</CharactersWithSpaces>
  <Paragraphs>39</Paragraphs>
  <Company>Uniwersytet Jagielloński Collegium Medicum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2023-02-06T09:57:00Z</dcterms:created>
  <dc:creator>Priv_K</dc:creator>
  <dc:description/>
  <dc:language>en-US</dc:language>
  <cp:lastModifiedBy/>
  <cp:lastPrinted>2022-03-31T07:28:00Z</cp:lastPrinted>
  <dcterms:modified xsi:type="dcterms:W3CDTF">2023-03-21T12:05:16Z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Uniwersytet Jagielloński Collegium Medicum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